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jc w:val="center"/>
      </w:pPr>
      <w:r>
        <w:rPr>
          <w:rFonts w:ascii="Arial" w:hAnsi="Arial" w:cs="Arial"/>
          <w:b/>
          <w:bCs/>
          <w:sz w:val="32"/>
          <w:szCs w:val="32"/>
        </w:rPr>
        <w:t xml:space="preserve">Quote</w:t>
      </w:r>
    </w:p>
    <w:tbl>
      <w:tblPr>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spacing w:before="120" w:after="80"/>
            </w:pPr>
            <w:r>
              <w:rPr>
                <w:rFonts w:ascii="Arial" w:hAnsi="Arial" w:cs="Arial"/>
                <w:sz w:val="20"/>
                <w:szCs w:val="20"/>
              </w:rPr>
              <w:t xml:space="preserve">Quote no.</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Date</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Valid until</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Provider</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c>
          <w:tcPr>
            <w:tcW w:w="4819" w:type="dxa"/>
          </w:tcPr>
          <w:p>
            <w:pPr>
              <w:spacing w:before="160" w:after="80"/>
            </w:pPr>
            <w:r>
              <w:rPr>
                <w:rFonts w:ascii="Arial" w:hAnsi="Arial" w:cs="Arial"/>
                <w:b/>
                <w:bCs/>
                <w:sz w:val="20"/>
                <w:szCs w:val="20"/>
              </w:rPr>
              <w:t xml:space="preserve">Client</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Source and target languages</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Subject area</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Word count (words)</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Delivery date</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Required file format</w:t>
            </w:r>
          </w:p>
        </w:tc>
        <w:tc>
          <w:tcPr>
            <w:tcW w:w="4819" w:type="dxa"/>
          </w:tcPr>
          <w:p>
            <w:pPr>
              <w:spacing w:before="0" w:after="0"/>
            </w:pPr>
          </w:p>
        </w:tc>
      </w:tr>
    </w:tbl>
    <w:p>
      <w:pPr>
        <w:spacing w:before="0" w:after="120"/>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spacing w:before="40" w:after="40"/>
            </w:pPr>
            <w:r>
              <w:rPr>
                <w:rFonts w:ascii="Arial" w:hAnsi="Arial" w:cs="Arial"/>
                <w:b/>
                <w:bCs/>
                <w:sz w:val="20"/>
                <w:szCs w:val="20"/>
              </w:rPr>
              <w:t xml:space="preserve">Item</w:t>
            </w:r>
          </w:p>
        </w:tc>
        <w:tc>
          <w:tcPr>
            <w:tcW w:w="1300" w:type="dxa"/>
            <w:shd w:val="clear" w:color="auto" w:fill="F2F2F2"/>
          </w:tcPr>
          <w:p>
            <w:pPr>
              <w:spacing w:before="40" w:after="40"/>
            </w:pPr>
            <w:r>
              <w:rPr>
                <w:rFonts w:ascii="Arial" w:hAnsi="Arial" w:cs="Arial"/>
                <w:b/>
                <w:bCs/>
                <w:sz w:val="20"/>
                <w:szCs w:val="20"/>
              </w:rPr>
              <w:t xml:space="preserve">Unit</w:t>
            </w:r>
          </w:p>
        </w:tc>
        <w:tc>
          <w:tcPr>
            <w:tcW w:w="1100" w:type="dxa"/>
            <w:shd w:val="clear" w:color="auto" w:fill="F2F2F2"/>
          </w:tcPr>
          <w:p>
            <w:pPr>
              <w:spacing w:before="40" w:after="40"/>
            </w:pPr>
            <w:r>
              <w:rPr>
                <w:rFonts w:ascii="Arial" w:hAnsi="Arial" w:cs="Arial"/>
                <w:b/>
                <w:bCs/>
                <w:sz w:val="20"/>
                <w:szCs w:val="20"/>
              </w:rPr>
              <w:t xml:space="preserve">Qty</w:t>
            </w:r>
          </w:p>
        </w:tc>
        <w:tc>
          <w:tcPr>
            <w:tcW w:w="1500" w:type="dxa"/>
            <w:shd w:val="clear" w:color="auto" w:fill="F2F2F2"/>
          </w:tcPr>
          <w:p>
            <w:pPr>
              <w:spacing w:before="40" w:after="40"/>
            </w:pPr>
            <w:r>
              <w:rPr>
                <w:rFonts w:ascii="Arial" w:hAnsi="Arial" w:cs="Arial"/>
                <w:b/>
                <w:bCs/>
                <w:sz w:val="20"/>
                <w:szCs w:val="20"/>
              </w:rPr>
              <w:t xml:space="preserve">Unit price</w:t>
            </w:r>
          </w:p>
        </w:tc>
        <w:tc>
          <w:tcPr>
            <w:tcW w:w="1500" w:type="dxa"/>
            <w:shd w:val="clear" w:color="auto" w:fill="F2F2F2"/>
          </w:tcPr>
          <w:p>
            <w:pPr>
              <w:spacing w:before="40" w:after="40"/>
            </w:pPr>
            <w:r>
              <w:rPr>
                <w:rFonts w:ascii="Arial" w:hAnsi="Arial" w:cs="Arial"/>
                <w:b/>
                <w:bCs/>
                <w:sz w:val="20"/>
                <w:szCs w:val="20"/>
              </w:rPr>
              <w:t xml:space="preserve">Total</w:t>
            </w:r>
          </w:p>
        </w:tc>
      </w:tr>
      <w:tr>
        <w:trPr>
          <w:trHeight w:val="400"/>
        </w:trPr>
        <w:tc>
          <w:tcPr>
            <w:tcW w:w="4238" w:type="dxa"/>
          </w:tcPr>
          <w:p>
            <w:pPr>
              <w:spacing w:before="40" w:after="40"/>
            </w:pPr>
            <w:r>
              <w:rPr>
                <w:rFonts w:ascii="Arial" w:hAnsi="Arial" w:cs="Arial"/>
                <w:sz w:val="20"/>
                <w:szCs w:val="20"/>
              </w:rPr>
              <w:t xml:space="preserve">General translation</w:t>
            </w:r>
          </w:p>
        </w:tc>
        <w:tc>
          <w:tcPr>
            <w:tcW w:w="1300" w:type="dxa"/>
          </w:tcPr>
          <w:p>
            <w:pPr>
              <w:spacing w:before="40" w:after="40"/>
            </w:pPr>
            <w:r>
              <w:rPr>
                <w:rFonts w:ascii="Arial" w:hAnsi="Arial" w:cs="Arial"/>
                <w:sz w:val="20"/>
                <w:szCs w:val="20"/>
              </w:rPr>
              <w:t xml:space="preserve">word</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Specialised translation</w:t>
            </w:r>
          </w:p>
        </w:tc>
        <w:tc>
          <w:tcPr>
            <w:tcW w:w="1300" w:type="dxa"/>
          </w:tcPr>
          <w:p>
            <w:pPr>
              <w:spacing w:before="40" w:after="40"/>
            </w:pPr>
            <w:r>
              <w:rPr>
                <w:rFonts w:ascii="Arial" w:hAnsi="Arial" w:cs="Arial"/>
                <w:sz w:val="20"/>
                <w:szCs w:val="20"/>
              </w:rPr>
              <w:t xml:space="preserve">word</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Certified document translation</w:t>
            </w:r>
          </w:p>
        </w:tc>
        <w:tc>
          <w:tcPr>
            <w:tcW w:w="1300" w:type="dxa"/>
          </w:tcPr>
          <w:p>
            <w:pPr>
              <w:spacing w:before="40" w:after="40"/>
            </w:pPr>
            <w:r>
              <w:rPr>
                <w:rFonts w:ascii="Arial" w:hAnsi="Arial" w:cs="Arial"/>
                <w:sz w:val="20"/>
                <w:szCs w:val="20"/>
              </w:rPr>
              <w:t xml:space="preserve">page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Proofreading</w:t>
            </w:r>
          </w:p>
        </w:tc>
        <w:tc>
          <w:tcPr>
            <w:tcW w:w="1300" w:type="dxa"/>
          </w:tcPr>
          <w:p>
            <w:pPr>
              <w:spacing w:before="40" w:after="40"/>
            </w:pPr>
            <w:r>
              <w:rPr>
                <w:rFonts w:ascii="Arial" w:hAnsi="Arial" w:cs="Arial"/>
                <w:sz w:val="20"/>
                <w:szCs w:val="20"/>
              </w:rPr>
              <w:t xml:space="preserve">word</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Translation review and editing</w:t>
            </w:r>
          </w:p>
        </w:tc>
        <w:tc>
          <w:tcPr>
            <w:tcW w:w="1300" w:type="dxa"/>
          </w:tcPr>
          <w:p>
            <w:pPr>
              <w:spacing w:before="40" w:after="40"/>
            </w:pPr>
            <w:r>
              <w:rPr>
                <w:rFonts w:ascii="Arial" w:hAnsi="Arial" w:cs="Arial"/>
                <w:sz w:val="20"/>
                <w:szCs w:val="20"/>
              </w:rPr>
              <w:t xml:space="preserve">word</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Subtitling</w:t>
            </w:r>
          </w:p>
        </w:tc>
        <w:tc>
          <w:tcPr>
            <w:tcW w:w="1300" w:type="dxa"/>
          </w:tcPr>
          <w:p>
            <w:pPr>
              <w:spacing w:before="40" w:after="40"/>
            </w:pPr>
            <w:r>
              <w:rPr>
                <w:rFonts w:ascii="Arial" w:hAnsi="Arial" w:cs="Arial"/>
                <w:sz w:val="20"/>
                <w:szCs w:val="20"/>
              </w:rPr>
              <w:t xml:space="preserve">minute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Transcription</w:t>
            </w:r>
          </w:p>
        </w:tc>
        <w:tc>
          <w:tcPr>
            <w:tcW w:w="1300" w:type="dxa"/>
          </w:tcPr>
          <w:p>
            <w:pPr>
              <w:spacing w:before="40" w:after="40"/>
            </w:pPr>
            <w:r>
              <w:rPr>
                <w:rFonts w:ascii="Arial" w:hAnsi="Arial" w:cs="Arial"/>
                <w:sz w:val="20"/>
                <w:szCs w:val="20"/>
              </w:rPr>
              <w:t xml:space="preserve">minute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Simultaneous or consecutive interpreting</w:t>
            </w:r>
          </w:p>
        </w:tc>
        <w:tc>
          <w:tcPr>
            <w:tcW w:w="1300" w:type="dxa"/>
          </w:tcPr>
          <w:p>
            <w:pPr>
              <w:spacing w:before="40" w:after="40"/>
            </w:pPr>
            <w:r>
              <w:rPr>
                <w:rFonts w:ascii="Arial" w:hAnsi="Arial" w:cs="Arial"/>
                <w:sz w:val="20"/>
                <w:szCs w:val="20"/>
              </w:rPr>
              <w:t xml:space="preserve">hour</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Formatting to match the original</w:t>
            </w:r>
          </w:p>
        </w:tc>
        <w:tc>
          <w:tcPr>
            <w:tcW w:w="1300" w:type="dxa"/>
          </w:tcPr>
          <w:p>
            <w:pPr>
              <w:spacing w:before="40" w:after="40"/>
            </w:pPr>
            <w:r>
              <w:rPr>
                <w:rFonts w:ascii="Arial" w:hAnsi="Arial" w:cs="Arial"/>
                <w:sz w:val="20"/>
                <w:szCs w:val="20"/>
              </w:rPr>
              <w:t xml:space="preserve">page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Rush fee</w:t>
            </w:r>
          </w:p>
        </w:tc>
        <w:tc>
          <w:tcPr>
            <w:tcW w:w="1300" w:type="dxa"/>
          </w:tcPr>
          <w:p>
            <w:pPr>
              <w:spacing w:before="40" w:after="40"/>
            </w:pPr>
            <w:r>
              <w:rPr>
                <w:rFonts w:ascii="Arial" w:hAnsi="Arial" w:cs="Arial"/>
                <w:sz w:val="20"/>
                <w:szCs w:val="20"/>
              </w:rPr>
              <w:t xml:space="preserve">order</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8138" w:type="dxa"/>
            <w:gridSpan w:val="4"/>
          </w:tcPr>
          <w:p>
            <w:pPr>
              <w:spacing w:before="40" w:after="40"/>
            </w:pPr>
            <w:r>
              <w:rPr>
                <w:rFonts w:ascii="Arial" w:hAnsi="Arial" w:cs="Arial"/>
                <w:b/>
                <w:bCs/>
                <w:sz w:val="20"/>
                <w:szCs w:val="20"/>
              </w:rPr>
              <w:t xml:space="preserve">Quote total</w:t>
            </w:r>
          </w:p>
        </w:tc>
        <w:tc>
          <w:tcPr>
            <w:tcW w:w="1500" w:type="dxa"/>
          </w:tcPr>
          <w:p>
            <w:pPr>
              <w:spacing w:before="0" w:after="0"/>
            </w:pP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Payments</w:t>
            </w:r>
          </w:p>
          <w:p>
            <w:pPr>
              <w:pBdr>
                <w:bottom w:val="single" w:sz="4" w:space="1" w:color="999999"/>
                <w:between w:val="single" w:sz="4" w:space="1" w:color="999999"/>
              </w:pBdr>
              <w:spacing w:before="120" w:after="80"/>
            </w:pPr>
            <w:r>
              <w:rPr>
                <w:rFonts w:ascii="Arial" w:hAnsi="Arial" w:cs="Arial"/>
                <w:sz w:val="20"/>
                <w:szCs w:val="20"/>
              </w:rPr>
              <w:t xml:space="preserve">Deposit at start 50%</w:t>
            </w:r>
          </w:p>
          <w:p>
            <w:pPr>
              <w:pBdr>
                <w:bottom w:val="single" w:sz="4" w:space="1" w:color="999999"/>
                <w:between w:val="single" w:sz="4" w:space="1" w:color="999999"/>
              </w:pBdr>
              <w:spacing w:before="120" w:after="80"/>
            </w:pPr>
            <w:r>
              <w:rPr>
                <w:rFonts w:ascii="Arial" w:hAnsi="Arial" w:cs="Arial"/>
                <w:sz w:val="20"/>
                <w:szCs w:val="20"/>
              </w:rPr>
              <w:t xml:space="preserve">Balance on delivery 50%</w:t>
            </w:r>
          </w:p>
        </w:tc>
        <w:tc>
          <w:tcPr>
            <w:tcW w:w="4819" w:type="dxa"/>
          </w:tcPr>
          <w:p>
            <w:pPr>
              <w:spacing w:before="160" w:after="80"/>
            </w:pPr>
            <w:r>
              <w:rPr>
                <w:rFonts w:ascii="Arial" w:hAnsi="Arial" w:cs="Arial"/>
                <w:b/>
                <w:bCs/>
                <w:sz w:val="20"/>
                <w:szCs w:val="20"/>
              </w:rPr>
              <w:t xml:space="preserve">Scope of work</w:t>
            </w:r>
          </w:p>
          <w:p>
            <w:pPr>
              <w:spacing w:before="80" w:after="80"/>
            </w:pPr>
            <w:r>
              <w:rPr>
                <w:rFonts w:ascii="Arial" w:hAnsi="Arial" w:cs="Arial"/>
                <w:b/>
                <w:bCs/>
                <w:sz w:val="20"/>
                <w:szCs w:val="20"/>
              </w:rPr>
              <w:t xml:space="preserve">What is included: </w:t>
            </w:r>
            <w:r>
              <w:rPr>
                <w:rFonts w:ascii="Arial" w:hAnsi="Arial" w:cs="Arial"/>
                <w:sz w:val="20"/>
                <w:szCs w:val="20"/>
              </w:rPr>
              <w:t xml:space="preserve">Translation of the text listed in the items, reviewed before delivery and delivered in the agreed format.</w:t>
            </w:r>
          </w:p>
          <w:p>
            <w:pPr>
              <w:spacing w:before="80" w:after="80"/>
            </w:pPr>
            <w:r>
              <w:rPr>
                <w:rFonts w:ascii="Arial" w:hAnsi="Arial" w:cs="Arial"/>
                <w:b/>
                <w:bCs/>
                <w:sz w:val="20"/>
                <w:szCs w:val="20"/>
              </w:rPr>
              <w:t xml:space="preserve">What is not included: </w:t>
            </w:r>
            <w:r>
              <w:rPr>
                <w:rFonts w:ascii="Arial" w:hAnsi="Arial" w:cs="Arial"/>
                <w:sz w:val="20"/>
                <w:szCs w:val="20"/>
              </w:rPr>
              <w:t xml:space="preserve">Legalisation by official bodies, design and layout, and any text added after the quote is accepted.</w:t>
            </w:r>
          </w:p>
          <w:p>
            <w:pPr>
              <w:spacing w:before="80" w:after="80"/>
            </w:pPr>
            <w:r>
              <w:rPr>
                <w:rFonts w:ascii="Arial" w:hAnsi="Arial" w:cs="Arial"/>
                <w:b/>
                <w:bCs/>
                <w:sz w:val="20"/>
                <w:szCs w:val="20"/>
              </w:rPr>
              <w:t xml:space="preserve">How volume is counted: </w:t>
            </w:r>
            <w:r>
              <w:rPr>
                <w:rFonts w:ascii="Arial" w:hAnsi="Arial" w:cs="Arial"/>
                <w:sz w:val="20"/>
                <w:szCs w:val="20"/>
              </w:rPr>
              <w:t xml:space="preserve">Words are counted from the source text, and certified pages from the pages of the original document.</w:t>
            </w:r>
          </w:p>
          <w:p>
            <w:pPr>
              <w:spacing w:before="80" w:after="80"/>
            </w:pPr>
            <w:r>
              <w:rPr>
                <w:rFonts w:ascii="Arial" w:hAnsi="Arial" w:cs="Arial"/>
                <w:b/>
                <w:bCs/>
                <w:sz w:val="20"/>
                <w:szCs w:val="20"/>
              </w:rPr>
              <w:t xml:space="preserve">Revisions: </w:t>
            </w:r>
            <w:r>
              <w:rPr>
                <w:rFonts w:ascii="Arial" w:hAnsi="Arial" w:cs="Arial"/>
                <w:sz w:val="20"/>
                <w:szCs w:val="20"/>
              </w:rPr>
              <w:t xml:space="preserve">Wording changes are free within a week of delivery. Changes to the source text after work starts are charged as additions.</w:t>
            </w:r>
          </w:p>
          <w:p>
            <w:pPr>
              <w:spacing w:before="80" w:after="80"/>
            </w:pPr>
            <w:r>
              <w:rPr>
                <w:rFonts w:ascii="Arial" w:hAnsi="Arial" w:cs="Arial"/>
                <w:b/>
                <w:bCs/>
                <w:sz w:val="20"/>
                <w:szCs w:val="20"/>
              </w:rPr>
              <w:t xml:space="preserve">Confidentiality: </w:t>
            </w:r>
            <w:r>
              <w:rPr>
                <w:rFonts w:ascii="Arial" w:hAnsi="Arial" w:cs="Arial"/>
                <w:sz w:val="20"/>
                <w:szCs w:val="20"/>
              </w:rPr>
              <w:t xml:space="preserve">All files are treated as confidential and are not shared with any other party.</w:t>
            </w:r>
          </w:p>
          <w:p>
            <w:pPr>
              <w:pBdr>
                <w:bottom w:val="single" w:sz="4" w:space="1" w:color="999999"/>
                <w:between w:val="single" w:sz="4" w:space="1" w:color="999999"/>
              </w:pBdr>
              <w:spacing w:before="120" w:after="80"/>
            </w:pPr>
            <w:r>
              <w:rPr>
                <w:rFonts w:ascii="Arial" w:hAnsi="Arial" w:cs="Arial"/>
                <w:sz w:val="20"/>
                <w:szCs w:val="20"/>
              </w:rPr>
              <w:t xml:space="preserve">Delivery method</w:t>
            </w:r>
          </w:p>
        </w:tc>
      </w:tr>
    </w:tbl>
    <w:p>
      <w:pPr>
        <w:spacing w:before="200" w:after="80"/>
      </w:pPr>
      <w:r>
        <w:rPr>
          <w:rFonts w:ascii="Arial" w:hAnsi="Arial" w:cs="Arial"/>
          <w:b/>
          <w:bCs/>
          <w:sz w:val="20"/>
          <w:szCs w:val="20"/>
        </w:rPr>
        <w:t xml:space="preserve">Terms: </w:t>
      </w:r>
      <w:r>
        <w:rPr>
          <w:rFonts w:ascii="Arial" w:hAnsi="Arial" w:cs="Arial"/>
          <w:sz w:val="20"/>
          <w:szCs w:val="20"/>
        </w:rPr>
        <w:t xml:space="preserve">This quote is valid until the date shown on it and is based on the word count and files sent when it was requested. Work starts once the deposit is received. The delivery date runs from receipt of complete, legible files.</w:t>
      </w:r>
    </w:p>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Provider's signature</w:t>
            </w:r>
          </w:p>
        </w:tc>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Client's approval and signature</w:t>
            </w:r>
          </w:p>
        </w:tc>
      </w:tr>
    </w:tbl>
    <w:p>
      <w:pPr>
        <w:spacing w:before="240" w:after="80"/>
      </w:pPr>
      <w:r>
        <w:rPr>
          <w:rFonts w:ascii="Arial" w:hAnsi="Arial" w:cs="Arial"/>
          <w:color w:val="666666"/>
          <w:sz w:val="16"/>
          <w:szCs w:val="16"/>
        </w:rPr>
        <w:t xml:space="preserve">A template from Naam: naamapp.com</w:t>
      </w:r>
    </w:p>
    <w:sectPr>
      <w:pgSz w:w="11906" w:h="16838"/>
      <w:pgMar w:top="1134" w:right="1134" w:bottom="1134" w:left="1134" w:header="708" w:footer="708" w:gutter="0"/>
    </w:sectPr>
  </w:body>
</w:document>
</file>

<file path=docProps/core.xml><?xml version="1.0" encoding="utf-8"?>
<cp:coreProperties xmlns:cp="http://schemas.openxmlformats.org/package/2006/metadata/core-properties" xmlns:dc="http://purl.org/dc/elements/1.1/">
  <dc:title>Translation quote and estimate template</dc:title>
  <dc:creator>naamapp.com</dc:creator>
  <dc:language>en</dc:language>
</cp:coreProperties>
</file>