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Project name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Type of website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Number of pages (pages)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Site languages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Target launch date</w:t>
            </w:r>
          </w:p>
        </w:tc>
        <w:tc>
          <w:tcPr>
            <w:tcW w:w="4819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Requirements and sitemap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project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 interface design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 development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Content management panel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project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Online store and cart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project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Payment gateway integration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integration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Content entry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Basic search engine setup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project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Domain and hosting setup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year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Maintenance and support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month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at start 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Payment on design approval 30%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before launch 30%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Design and development of the pages and features listed in the items, tested on mobile and desktop.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not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Copywriting and images, and domain, hosting and third-party service fees unless listed in the items.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Revisions: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price includes two rounds of design revisions before development. Any new feature after the design is approved is priced in a separate quote.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Timeline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Handover and ownership: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site, its logins and source files are handed over once the full amount is paid, and ownership passes to the client.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Support after launch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 responsibilities: </w:t>
            </w:r>
            <w:r>
              <w:rPr>
                <w:rFonts w:ascii="Arial" w:hAnsi="Arial" w:cs="Arial"/>
                <w:sz w:val="20"/>
                <w:szCs w:val="20"/>
              </w:rPr>
              <w:t xml:space="preserve">Providing content, images and the logo before development starts, and replying to approval requests on time.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Work starts once the deposit is received. Late content or approvals move the launch date by the same time. Third-party service fees are paid by the client directly to their providers.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Website design quote and estimate template</dc:title>
  <dc:creator>naamapp.com</dc:creator>
  <dc:language>en</dc:language>
</cp:coreProperties>
</file>